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79F" w:rsidRDefault="00F4479F" w:rsidP="00F4479F">
      <w:pPr>
        <w:widowControl/>
        <w:autoSpaceDE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 Рекомендации по написанию контрольной работы</w:t>
      </w:r>
    </w:p>
    <w:p w:rsidR="00F4479F" w:rsidRDefault="00F4479F" w:rsidP="00F4479F">
      <w:pPr>
        <w:widowControl/>
        <w:autoSpaceDE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для обучающихся на заочной форме</w:t>
      </w:r>
    </w:p>
    <w:p w:rsidR="00F4479F" w:rsidRDefault="00F4479F" w:rsidP="00F4479F">
      <w:pPr>
        <w:widowControl/>
        <w:autoSpaceDE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F4479F" w:rsidRDefault="00F4479F" w:rsidP="00F4479F">
      <w:pPr>
        <w:widowControl/>
        <w:tabs>
          <w:tab w:val="left" w:pos="-142"/>
        </w:tabs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подготовке контрольной работы обучающемуся необходимо обратить внимание на:</w:t>
      </w:r>
    </w:p>
    <w:p w:rsidR="00F4479F" w:rsidRDefault="00F4479F" w:rsidP="00F4479F">
      <w:pPr>
        <w:widowControl/>
        <w:numPr>
          <w:ilvl w:val="0"/>
          <w:numId w:val="1"/>
        </w:numPr>
        <w:tabs>
          <w:tab w:val="left" w:pos="-142"/>
        </w:tabs>
        <w:autoSpaceDE/>
        <w:ind w:left="0" w:firstLine="709"/>
        <w:contextualSpacing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>
        <w:rPr>
          <w:rFonts w:eastAsia="TimesNewRoman" w:cs="Calibri"/>
          <w:sz w:val="28"/>
          <w:szCs w:val="28"/>
        </w:rPr>
        <w:t>обобщающие авторскую позицию по поставленным проблемам);</w:t>
      </w:r>
    </w:p>
    <w:p w:rsidR="00F4479F" w:rsidRDefault="00F4479F" w:rsidP="00F4479F">
      <w:pPr>
        <w:widowControl/>
        <w:numPr>
          <w:ilvl w:val="0"/>
          <w:numId w:val="1"/>
        </w:numPr>
        <w:tabs>
          <w:tab w:val="left" w:pos="-142"/>
        </w:tabs>
        <w:autoSpaceDE/>
        <w:ind w:left="0" w:firstLine="709"/>
        <w:contextualSpacing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1. Титульный лист с указанием варианта.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2. Текст должен быть написан грамотно в редакторе </w:t>
      </w:r>
      <w:proofErr w:type="spellStart"/>
      <w:r>
        <w:rPr>
          <w:rFonts w:eastAsia="Calibri"/>
          <w:sz w:val="28"/>
          <w:szCs w:val="28"/>
        </w:rPr>
        <w:t>Word</w:t>
      </w:r>
      <w:proofErr w:type="spellEnd"/>
      <w:r>
        <w:rPr>
          <w:rFonts w:eastAsia="Calibri"/>
          <w:sz w:val="28"/>
          <w:szCs w:val="28"/>
        </w:rPr>
        <w:t>. По правилам: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без рамок, соблюдая следующие размеры: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расстояние от левого края страницы до границ текста –30 мм;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расстояние от верхней и нижней строки текста до верхнего и нижнего краев страницы – 20 мм;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расстояние от правого края страницы до текста – 10 мм;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 xml:space="preserve">– </w:t>
      </w:r>
      <w:proofErr w:type="gramStart"/>
      <w:r>
        <w:rPr>
          <w:rFonts w:eastAsia="Calibri"/>
          <w:sz w:val="28"/>
          <w:szCs w:val="28"/>
        </w:rPr>
        <w:t>гарнитура</w:t>
      </w:r>
      <w:proofErr w:type="gramEnd"/>
      <w:r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шрифта</w:t>
      </w:r>
      <w:r>
        <w:rPr>
          <w:rFonts w:eastAsia="Calibri"/>
          <w:sz w:val="28"/>
          <w:szCs w:val="28"/>
          <w:lang w:val="en-US"/>
        </w:rPr>
        <w:t xml:space="preserve"> – Times New Roman;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размер шрифта для основного текста – 14;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междустрочный интервал – 1,5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размер шрифта для примечаний, ссылок – 12;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абзацный отступ –1,25 мм;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– выравнивание основного текста – по ширине страницы. 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4. Все части работы необходимо озаглавить, станицы – пронумеровать; </w:t>
      </w:r>
    </w:p>
    <w:p w:rsidR="00F4479F" w:rsidRDefault="00F4479F" w:rsidP="00F4479F">
      <w:pPr>
        <w:widowControl/>
        <w:autoSpaceDE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F4479F" w:rsidRDefault="00F4479F" w:rsidP="00F4479F">
      <w:pPr>
        <w:widowControl/>
        <w:autoSpaceDE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Оформление контрольной работы должно соответствовать Правилам оформления </w:t>
      </w:r>
      <w:proofErr w:type="gramStart"/>
      <w:r>
        <w:rPr>
          <w:sz w:val="28"/>
          <w:szCs w:val="28"/>
          <w:lang w:eastAsia="ru-RU"/>
        </w:rPr>
        <w:t>письменных работ</w:t>
      </w:r>
      <w:proofErr w:type="gramEnd"/>
      <w:r>
        <w:rPr>
          <w:sz w:val="28"/>
          <w:szCs w:val="28"/>
          <w:lang w:eastAsia="ru-RU"/>
        </w:rPr>
        <w:t xml:space="preserve"> обучающихся для гуманитарных направлений подготовки, утвержденных и введенных в действие приказом ректора ДГТУ № 242 от 16.12.2020 г.</w:t>
      </w:r>
    </w:p>
    <w:p w:rsidR="00F4479F" w:rsidRDefault="00F4479F" w:rsidP="00F4479F">
      <w:pPr>
        <w:widowControl/>
        <w:autoSpaceDE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Задание контрольной работы состоит из двух частей</w:t>
      </w:r>
      <w:r>
        <w:rPr>
          <w:sz w:val="29"/>
        </w:rPr>
        <w:t>: теоретической и прикладной. В теоретической части отражается концептуальные основы исследуемого вопроса. Прикладная часть предполагает проведения статистического анализ по исследуемой проблематике.</w:t>
      </w:r>
    </w:p>
    <w:p w:rsidR="00F4479F" w:rsidRDefault="00F4479F" w:rsidP="00F4479F">
      <w:pPr>
        <w:widowControl/>
        <w:autoSpaceDE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Номер варианта контрольной работы зависит от последней цифры зачетной книжки обучающегося и определяется на основе данных приведенной ниже таблицы.</w:t>
      </w:r>
    </w:p>
    <w:p w:rsidR="00F4479F" w:rsidRDefault="00F4479F" w:rsidP="00F4479F">
      <w:pPr>
        <w:widowControl/>
        <w:autoSpaceDE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Таблица – выбор варианта контрольной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80"/>
        <w:gridCol w:w="2323"/>
        <w:gridCol w:w="2449"/>
      </w:tblGrid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Последняя</w:t>
            </w:r>
            <w:proofErr w:type="spellEnd"/>
            <w:r>
              <w:rPr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цифра</w:t>
            </w:r>
            <w:proofErr w:type="spellEnd"/>
            <w:r>
              <w:rPr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зачетной</w:t>
            </w:r>
            <w:proofErr w:type="spellEnd"/>
            <w:r>
              <w:rPr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книжки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i/>
                <w:sz w:val="24"/>
                <w:szCs w:val="24"/>
                <w:lang w:val="en-US" w:eastAsia="ru-RU"/>
              </w:rPr>
            </w:pPr>
            <w:r>
              <w:rPr>
                <w:i/>
                <w:sz w:val="24"/>
                <w:szCs w:val="24"/>
                <w:lang w:val="en-US" w:eastAsia="ru-RU"/>
              </w:rPr>
              <w:t xml:space="preserve">№ </w:t>
            </w: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варианта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Номер</w:t>
            </w:r>
            <w:proofErr w:type="spellEnd"/>
          </w:p>
          <w:p w:rsidR="00F4479F" w:rsidRDefault="00F4479F" w:rsidP="00F4479F">
            <w:pPr>
              <w:widowControl/>
              <w:autoSpaceDE/>
              <w:jc w:val="both"/>
              <w:rPr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теоретического</w:t>
            </w:r>
            <w:proofErr w:type="spellEnd"/>
          </w:p>
          <w:p w:rsidR="00F4479F" w:rsidRDefault="00F4479F" w:rsidP="00F4479F">
            <w:pPr>
              <w:widowControl/>
              <w:autoSpaceDE/>
              <w:jc w:val="both"/>
              <w:rPr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вопроса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Номер</w:t>
            </w:r>
            <w:proofErr w:type="spellEnd"/>
          </w:p>
          <w:p w:rsidR="00F4479F" w:rsidRDefault="00F4479F" w:rsidP="00F4479F">
            <w:pPr>
              <w:widowControl/>
              <w:autoSpaceDE/>
              <w:jc w:val="both"/>
              <w:rPr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Практического</w:t>
            </w:r>
            <w:proofErr w:type="spellEnd"/>
            <w:r>
              <w:rPr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1,11,21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10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2,12,22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9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3,13,23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4,14,24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5,15,25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6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6,16,26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7,17,27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4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8,18,28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3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9,19,29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</w:t>
            </w:r>
          </w:p>
        </w:tc>
      </w:tr>
      <w:tr w:rsidR="00F4479F" w:rsidTr="00F4479F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10,20,30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9F" w:rsidRDefault="00F4479F" w:rsidP="00F4479F">
            <w:pPr>
              <w:widowControl/>
              <w:autoSpaceDE/>
              <w:jc w:val="both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</w:t>
            </w:r>
          </w:p>
        </w:tc>
      </w:tr>
    </w:tbl>
    <w:p w:rsidR="00F4479F" w:rsidRDefault="00F4479F" w:rsidP="00F4479F">
      <w:pPr>
        <w:widowControl/>
        <w:autoSpaceDE/>
        <w:jc w:val="both"/>
        <w:rPr>
          <w:sz w:val="24"/>
          <w:szCs w:val="24"/>
          <w:lang w:eastAsia="ru-RU"/>
        </w:rPr>
      </w:pPr>
    </w:p>
    <w:p w:rsidR="00F4479F" w:rsidRPr="00F4479F" w:rsidRDefault="00F4479F" w:rsidP="00F4479F">
      <w:pPr>
        <w:widowControl/>
        <w:autoSpaceDE/>
        <w:ind w:firstLine="709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Теоретический вопрос</w:t>
      </w:r>
      <w:bookmarkStart w:id="0" w:name="_GoBack"/>
      <w:bookmarkEnd w:id="0"/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1</w:t>
      </w:r>
      <w:r>
        <w:rPr>
          <w:sz w:val="29"/>
        </w:rPr>
        <w:tab/>
        <w:t>Управление проектами образовательной сферы деятельности (на примере субъекта Федерации)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2</w:t>
      </w:r>
      <w:r>
        <w:rPr>
          <w:sz w:val="29"/>
        </w:rPr>
        <w:tab/>
        <w:t>Управление проектами социальной сферы (на примере субъекта Федерации)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3</w:t>
      </w:r>
      <w:r>
        <w:rPr>
          <w:sz w:val="29"/>
        </w:rPr>
        <w:tab/>
        <w:t>Проблемы управления собственностью госпредприятий (на примере государственного предприятия)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4</w:t>
      </w:r>
      <w:r>
        <w:rPr>
          <w:sz w:val="29"/>
        </w:rPr>
        <w:tab/>
        <w:t xml:space="preserve">Планирование и оценка деятельности государственных </w:t>
      </w:r>
      <w:r>
        <w:rPr>
          <w:sz w:val="29"/>
        </w:rPr>
        <w:lastRenderedPageBreak/>
        <w:t xml:space="preserve">бюджетных предприятий (на примере субъекта РФ). 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5</w:t>
      </w:r>
      <w:r>
        <w:rPr>
          <w:sz w:val="29"/>
        </w:rPr>
        <w:tab/>
        <w:t>Особенности государственного управления в области использования и охраны водных объектов (на примере субъекта Федерации)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6</w:t>
      </w:r>
      <w:r>
        <w:rPr>
          <w:sz w:val="29"/>
        </w:rPr>
        <w:tab/>
        <w:t>Особенности государственного управления в области использования, защиты и охраны лесного фонда (на примере субъекта Федерации)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7</w:t>
      </w:r>
      <w:r>
        <w:rPr>
          <w:sz w:val="29"/>
        </w:rPr>
        <w:tab/>
        <w:t>Система показателей эффективности управления земельной собственностью РФ (субъекта РФ, муниципального образования).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8</w:t>
      </w:r>
      <w:r>
        <w:rPr>
          <w:sz w:val="29"/>
        </w:rPr>
        <w:tab/>
        <w:t xml:space="preserve"> Управление муниципальным имуществом жилищно-коммунальной сферы (на примере субъекта РФ, муниципального образования).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9</w:t>
      </w:r>
      <w:r>
        <w:rPr>
          <w:sz w:val="29"/>
        </w:rPr>
        <w:tab/>
        <w:t xml:space="preserve"> Управление государственной собственностью инновационной сферы деятельности (на примере субъекта Федерации)</w:t>
      </w:r>
    </w:p>
    <w:p w:rsidR="00F4479F" w:rsidRDefault="00F4479F" w:rsidP="00F4479F">
      <w:pPr>
        <w:pStyle w:val="a3"/>
        <w:spacing w:before="10"/>
        <w:ind w:firstLine="496"/>
        <w:jc w:val="both"/>
        <w:rPr>
          <w:sz w:val="29"/>
        </w:rPr>
      </w:pPr>
      <w:r>
        <w:rPr>
          <w:sz w:val="29"/>
        </w:rPr>
        <w:t>10</w:t>
      </w:r>
      <w:r>
        <w:rPr>
          <w:sz w:val="29"/>
        </w:rPr>
        <w:tab/>
        <w:t xml:space="preserve">Совершенствование механизмов управления государственным и муниципальным имуществом сферы культуры (на примере субъекта Федерации) 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Маркетинговые исследования в системе управления проектами.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Стратегическое планирование как основа управления проектами.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Инструменты и методы управления рисками проекта.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Оценка эффективности проектов: методологические подходы к исследованию.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Финансовый анализ в управлении проектами.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Использование проектной методологии в управлении развитием бизнеса.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Методы и схемы структурированного финансирования проектов.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Управление</w:t>
      </w:r>
      <w:r>
        <w:rPr>
          <w:sz w:val="29"/>
        </w:rPr>
        <w:tab/>
        <w:t>инфраструктурными</w:t>
      </w:r>
      <w:r>
        <w:rPr>
          <w:sz w:val="29"/>
        </w:rPr>
        <w:tab/>
        <w:t>проектами</w:t>
      </w:r>
      <w:r>
        <w:rPr>
          <w:sz w:val="29"/>
        </w:rPr>
        <w:tab/>
        <w:t>в</w:t>
      </w:r>
      <w:r>
        <w:rPr>
          <w:sz w:val="29"/>
        </w:rPr>
        <w:tab/>
        <w:t>условиях государственно-частного партнерства.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Управление проектами в сфере культуры.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Управление инновационными проектами.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Управление</w:t>
      </w:r>
      <w:r>
        <w:rPr>
          <w:sz w:val="29"/>
        </w:rPr>
        <w:tab/>
        <w:t>инвестиционным</w:t>
      </w:r>
      <w:r>
        <w:rPr>
          <w:sz w:val="29"/>
        </w:rPr>
        <w:tab/>
        <w:t>проектом</w:t>
      </w:r>
      <w:r>
        <w:rPr>
          <w:sz w:val="29"/>
        </w:rPr>
        <w:tab/>
        <w:t>по</w:t>
      </w:r>
      <w:r>
        <w:rPr>
          <w:sz w:val="29"/>
        </w:rPr>
        <w:tab/>
        <w:t>техническому перевооружению производственного предприятия.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Проекты преобразования старых промышленных зон.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Особенности инвестиционных проектов по охране окружающей среды.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Консалтинг в управлении проектами.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Исследование и разработка механизмов проектного управления инновациями.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Использование проектной методологии в управлении развитием бизнеса.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Выставочные</w:t>
      </w:r>
      <w:r>
        <w:rPr>
          <w:sz w:val="29"/>
        </w:rPr>
        <w:tab/>
        <w:t>проекты</w:t>
      </w:r>
      <w:r>
        <w:rPr>
          <w:sz w:val="29"/>
        </w:rPr>
        <w:tab/>
        <w:t>как</w:t>
      </w:r>
      <w:r>
        <w:rPr>
          <w:sz w:val="29"/>
        </w:rPr>
        <w:tab/>
        <w:t>инструмент</w:t>
      </w:r>
      <w:r>
        <w:rPr>
          <w:sz w:val="29"/>
        </w:rPr>
        <w:tab/>
        <w:t>повышения</w:t>
      </w:r>
      <w:r>
        <w:rPr>
          <w:sz w:val="29"/>
        </w:rPr>
        <w:lastRenderedPageBreak/>
        <w:tab/>
        <w:t>уровня экономического развития региона.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Управление</w:t>
      </w:r>
      <w:r>
        <w:rPr>
          <w:sz w:val="29"/>
        </w:rPr>
        <w:tab/>
        <w:t>инновационными</w:t>
      </w:r>
      <w:r>
        <w:rPr>
          <w:sz w:val="29"/>
        </w:rPr>
        <w:tab/>
        <w:t>проектами:</w:t>
      </w:r>
      <w:r>
        <w:rPr>
          <w:sz w:val="29"/>
        </w:rPr>
        <w:tab/>
        <w:t>методы</w:t>
      </w:r>
      <w:r>
        <w:rPr>
          <w:sz w:val="29"/>
        </w:rPr>
        <w:tab/>
        <w:t>оценки эффективности и рисков.</w:t>
      </w:r>
    </w:p>
    <w:p w:rsidR="00F4479F" w:rsidRDefault="00F4479F" w:rsidP="00F4479F">
      <w:pPr>
        <w:pStyle w:val="a3"/>
        <w:numPr>
          <w:ilvl w:val="0"/>
          <w:numId w:val="2"/>
        </w:numPr>
        <w:spacing w:before="10"/>
        <w:ind w:left="0" w:firstLine="709"/>
        <w:jc w:val="both"/>
        <w:rPr>
          <w:sz w:val="29"/>
        </w:rPr>
      </w:pPr>
      <w:r>
        <w:rPr>
          <w:sz w:val="29"/>
        </w:rPr>
        <w:t>Организация</w:t>
      </w:r>
      <w:r>
        <w:rPr>
          <w:sz w:val="29"/>
        </w:rPr>
        <w:tab/>
        <w:t>работы</w:t>
      </w:r>
      <w:r>
        <w:rPr>
          <w:sz w:val="29"/>
        </w:rPr>
        <w:tab/>
        <w:t>в</w:t>
      </w:r>
      <w:r>
        <w:rPr>
          <w:sz w:val="29"/>
        </w:rPr>
        <w:tab/>
        <w:t>субъектах</w:t>
      </w:r>
      <w:r>
        <w:rPr>
          <w:sz w:val="29"/>
        </w:rPr>
        <w:tab/>
        <w:t>федерации</w:t>
      </w:r>
      <w:r>
        <w:rPr>
          <w:sz w:val="29"/>
        </w:rPr>
        <w:tab/>
        <w:t>по</w:t>
      </w:r>
      <w:r>
        <w:rPr>
          <w:sz w:val="29"/>
        </w:rPr>
        <w:tab/>
        <w:t>привлечению инвестиций в проекты.</w:t>
      </w:r>
    </w:p>
    <w:p w:rsidR="008F5358" w:rsidRDefault="00F4479F" w:rsidP="00F4479F">
      <w:pPr>
        <w:jc w:val="both"/>
      </w:pPr>
      <w:r>
        <w:rPr>
          <w:sz w:val="29"/>
        </w:rPr>
        <w:t>Организация контроля и экспертизы как необходимое условие успешной реализации проекта</w:t>
      </w:r>
      <w:r>
        <w:rPr>
          <w:sz w:val="29"/>
        </w:rPr>
        <w:t>.</w:t>
      </w:r>
    </w:p>
    <w:sectPr w:rsidR="008F5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E1066"/>
    <w:multiLevelType w:val="hybridMultilevel"/>
    <w:tmpl w:val="B5DAE064"/>
    <w:lvl w:ilvl="0" w:tplc="C4FA2610">
      <w:start w:val="11"/>
      <w:numFmt w:val="decimal"/>
      <w:lvlText w:val="%1."/>
      <w:lvlJc w:val="left"/>
      <w:pPr>
        <w:ind w:left="226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01"/>
    <w:rsid w:val="00166A01"/>
    <w:rsid w:val="008F5358"/>
    <w:rsid w:val="00F4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22C1"/>
  <w15:chartTrackingRefBased/>
  <w15:docId w15:val="{7DC783A9-D301-43E9-89FE-66752C6C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4479F"/>
    <w:pPr>
      <w:ind w:left="213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4479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2</cp:revision>
  <dcterms:created xsi:type="dcterms:W3CDTF">2022-09-27T09:31:00Z</dcterms:created>
  <dcterms:modified xsi:type="dcterms:W3CDTF">2022-09-27T09:31:00Z</dcterms:modified>
</cp:coreProperties>
</file>